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x910f8p83jff" w:id="0"/>
      <w:bookmarkEnd w:id="0"/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On the Grasshopper and Cricket”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BY JOHN KEATS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Source: http://www.poetryfoundation.org/poem/238438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1</w:t>
        <w:tab/>
        <w:t xml:space="preserve">The Poetry of earth is never dead: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</w:t>
        <w:tab/>
        <w:tab/>
        <w:t xml:space="preserve">When all the birds are faint with the hot sun,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</w:t>
        <w:tab/>
        <w:tab/>
        <w:t xml:space="preserve">And hide in cooling trees, a voice will run  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From hedge to hedge about the new-mown mead;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5</w:t>
        <w:tab/>
        <w:t xml:space="preserve">That is the Grasshopper’s—he takes the lead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</w:t>
        <w:tab/>
        <w:tab/>
        <w:t xml:space="preserve">In summer luxury,—he has never done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  <w:tab/>
        <w:tab/>
        <w:t xml:space="preserve"> With his delights; for when tired out with fun  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He rests at ease beneath some pleasant weed.  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The poetry of earth is ceasing never: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10</w:t>
        <w:tab/>
        <w:tab/>
        <w:t xml:space="preserve">On a lone winter evening, when the frost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ab/>
        <w:tab/>
        <w:t xml:space="preserve">Has wrought a silence, from the stove there shrills  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The Cricket’s song, in warmth increasing ever,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</w:t>
        <w:tab/>
        <w:tab/>
        <w:t xml:space="preserve">And seems to one in drowsiness half lost,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ab/>
        <w:tab/>
        <w:t xml:space="preserve">The Grasshopper’s among some grassy hills.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