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6"/>
          <w:szCs w:val="26"/>
          <w:rtl w:val="0"/>
        </w:rPr>
        <w:t xml:space="preserve">Theme - “Nature”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6"/>
          <w:szCs w:val="26"/>
          <w:rtl w:val="0"/>
        </w:rPr>
        <w:t xml:space="preserve">Discussion Questions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These questions are designed to help you understand the texts and relate them to your own life.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Questions to Consider Before You Read: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When you see the word “Nature,” what comes to mind? You might list words and phrases here.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What places represent “Nature” to you?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What emotions do these places evoke?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Think back to when you’ve been happiest in nature. Do you remember any smells or sounds? If so, what?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Have you ever felt afraid or uneasy in nature? Where? Why?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Discussion questions for J. B. MacKinnon’s article “False Idyll”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According to Mackinnon, what do we normally associate with the word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“Nature”? Does his description relate to your own thoughts and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experiences?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Why does MacKinnon say that we’ve made “Nature” into a false idol?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Discussion questions for Lloyd Schwartz’s poem “Nostalgia (The Lake at Night)”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Why do you think this poem is called “Nostalgia”?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Why do you think the poet uses the senses to recreate this memory?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Discussion question for an excerpt from William Wordsworth’s poem “Tintern Abbey”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Why is the poem’s speaker still a “lover” of nature? What does he find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 there?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Discussion questions for John Keats’s poem “On the Grasshopper and Cricket”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ab/>
        <w:t xml:space="preserve">What is the “Poetry” of Earth, according to Keats?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Of what does the Cricket’s song remind the speaker at the end of the </w:t>
        <w:tab/>
        <w:t xml:space="preserve">poem?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5840" w:w="12240"/>
      <w:pgMar w:bottom="1440" w:top="1440" w:left="1080" w:right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